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2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Toc11104"/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研究进展报告</w:t>
      </w:r>
      <w:bookmarkEnd w:id="0"/>
    </w:p>
    <w:tbl>
      <w:tblPr>
        <w:tblStyle w:val="5"/>
        <w:tblpPr w:leftFromText="1077" w:rightFromText="22896" w:topFromText="403" w:vertAnchor="text" w:horzAnchor="page" w:tblpX="1465" w:tblpY="404"/>
        <w:tblW w:w="90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394"/>
        <w:gridCol w:w="806"/>
        <w:gridCol w:w="1337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9" w:line="206" w:lineRule="exact"/>
              <w:ind w:firstLine="764"/>
              <w:jc w:val="center"/>
              <w:textAlignment w:val="auto"/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9" w:line="206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项目</w:t>
            </w: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65" w:line="2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171717"/>
                <w:sz w:val="21"/>
                <w:szCs w:val="21"/>
                <w:lang w:eastAsia="zh-CN"/>
              </w:rPr>
              <w:t>项目来源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1" w:line="2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主要研究者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7" w:line="202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承担科室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1" w:line="2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62626"/>
                <w:sz w:val="21"/>
                <w:szCs w:val="21"/>
              </w:rPr>
              <w:t>方案版本号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57" w:line="202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>方案版本日期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65" w:line="2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B2B2B"/>
                <w:sz w:val="21"/>
                <w:szCs w:val="21"/>
              </w:rPr>
              <w:t>知情同意书版本号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61" w:line="198" w:lineRule="exact"/>
              <w:ind w:firstLine="27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72727"/>
                <w:sz w:val="21"/>
                <w:szCs w:val="21"/>
              </w:rPr>
              <w:t>知情同意书版本日期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伦理审查批件号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63" w:line="202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181818"/>
                <w:sz w:val="21"/>
                <w:szCs w:val="21"/>
              </w:rPr>
              <w:t>伦理审查批件有效期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color w:val="06060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firstLine="315" w:firstLineChars="150"/>
              <w:jc w:val="center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受试者信息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88" w:lineRule="auto"/>
              <w:ind w:left="197" w:leftChars="94" w:firstLine="21" w:firstLineChars="10"/>
              <w:rPr>
                <w:rFonts w:hint="eastAsia" w:ascii="Times New Roman" w:hAnsi="Times New Roman" w:cs="Arial" w:eastAsiaTheme="minorEastAsia"/>
                <w:szCs w:val="21"/>
                <w:lang w:val="zh-CN"/>
              </w:rPr>
            </w:pPr>
            <w:r>
              <w:rPr>
                <w:rFonts w:hint="eastAsia" w:ascii="Times New Roman" w:hAnsi="Times New Roman" w:cs="Arial" w:eastAsiaTheme="minorEastAsia"/>
                <w:szCs w:val="21"/>
                <w:lang w:val="zh-CN"/>
              </w:rPr>
              <w:t>合同研究总例数</w:t>
            </w:r>
            <w:r>
              <w:rPr>
                <w:rFonts w:hint="eastAsia" w:ascii="Times New Roman" w:hAnsi="Times New Roman" w:cs="Arial"/>
                <w:szCs w:val="21"/>
                <w:lang w:val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88" w:lineRule="auto"/>
              <w:ind w:left="197" w:leftChars="94" w:firstLine="21" w:firstLineChars="10"/>
              <w:rPr>
                <w:rFonts w:hint="eastAsia" w:ascii="Times New Roman" w:hAnsi="Times New Roman" w:cs="Arial" w:eastAsiaTheme="minorEastAsia"/>
                <w:szCs w:val="21"/>
                <w:lang w:val="zh-CN"/>
              </w:rPr>
            </w:pPr>
            <w:r>
              <w:rPr>
                <w:rFonts w:hint="eastAsia" w:ascii="Times New Roman" w:hAnsi="Times New Roman" w:cs="Arial" w:eastAsiaTheme="minorEastAsia"/>
                <w:szCs w:val="21"/>
                <w:lang w:val="zh-CN"/>
              </w:rPr>
              <w:t>已入组例数</w:t>
            </w:r>
            <w:r>
              <w:rPr>
                <w:rFonts w:hint="eastAsia" w:ascii="Times New Roman" w:hAnsi="Times New Roman" w:cs="Arial"/>
                <w:szCs w:val="21"/>
                <w:lang w:val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88" w:lineRule="auto"/>
              <w:ind w:left="197" w:leftChars="94" w:firstLine="21" w:firstLineChars="10"/>
              <w:rPr>
                <w:rFonts w:hint="eastAsia" w:ascii="Times New Roman" w:hAnsi="Times New Roman" w:cs="Arial" w:eastAsiaTheme="minorEastAsia"/>
                <w:szCs w:val="21"/>
                <w:lang w:val="zh-CN"/>
              </w:rPr>
            </w:pPr>
            <w:r>
              <w:rPr>
                <w:rFonts w:hint="eastAsia" w:ascii="Times New Roman" w:hAnsi="Times New Roman" w:cs="Arial" w:eastAsiaTheme="minorEastAsia"/>
                <w:szCs w:val="21"/>
                <w:lang w:val="zh-CN"/>
              </w:rPr>
              <w:t>完成观察例数</w:t>
            </w:r>
            <w:r>
              <w:rPr>
                <w:rFonts w:hint="eastAsia" w:ascii="Times New Roman" w:hAnsi="Times New Roman" w:cs="Arial" w:eastAsiaTheme="minorEastAsia"/>
                <w:szCs w:val="21"/>
                <w:lang w:val="zh-CN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88" w:lineRule="auto"/>
              <w:ind w:left="197" w:leftChars="94" w:firstLine="21" w:firstLineChars="10"/>
              <w:rPr>
                <w:rFonts w:hint="eastAsia" w:ascii="Times New Roman" w:hAnsi="Times New Roman" w:cs="Arial" w:eastAsiaTheme="minorEastAsia"/>
                <w:szCs w:val="21"/>
                <w:lang w:val="zh-CN"/>
              </w:rPr>
            </w:pPr>
            <w:r>
              <w:rPr>
                <w:rFonts w:hint="eastAsia" w:ascii="Times New Roman" w:hAnsi="Times New Roman" w:cs="Arial" w:eastAsiaTheme="minorEastAsia"/>
                <w:szCs w:val="21"/>
                <w:lang w:val="zh-CN"/>
              </w:rPr>
              <w:t>提前退出例数</w:t>
            </w:r>
            <w:r>
              <w:rPr>
                <w:rFonts w:hint="eastAsia" w:ascii="Times New Roman" w:hAnsi="Times New Roman" w:cs="Arial"/>
                <w:szCs w:val="21"/>
                <w:lang w:val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88" w:lineRule="auto"/>
              <w:ind w:left="197" w:leftChars="94" w:firstLine="21" w:firstLineChars="10"/>
              <w:rPr>
                <w:rFonts w:hint="eastAsia" w:ascii="Times New Roman" w:hAnsi="Times New Roman" w:cs="Arial" w:eastAsiaTheme="minorEastAsia"/>
                <w:szCs w:val="21"/>
                <w:lang w:val="zh-CN" w:eastAsia="zh-CN"/>
              </w:rPr>
            </w:pPr>
            <w:r>
              <w:rPr>
                <w:rFonts w:hint="eastAsia" w:ascii="Times New Roman" w:hAnsi="Times New Roman" w:cs="Arial" w:eastAsiaTheme="minorEastAsia"/>
                <w:szCs w:val="21"/>
                <w:lang w:val="zh-CN" w:eastAsia="zh-CN"/>
              </w:rPr>
              <w:t>严重不良事件例数：</w:t>
            </w:r>
          </w:p>
          <w:p>
            <w:pPr>
              <w:numPr>
                <w:ilvl w:val="0"/>
                <w:numId w:val="1"/>
              </w:numPr>
              <w:spacing w:line="288" w:lineRule="auto"/>
              <w:ind w:left="197" w:leftChars="94" w:firstLine="21" w:firstLineChars="10"/>
              <w:rPr>
                <w:rFonts w:hint="eastAsia" w:ascii="Times New Roman" w:hAnsi="Times New Roman" w:eastAsia="宋体" w:cs="宋体"/>
                <w:color w:val="060606"/>
                <w:sz w:val="21"/>
                <w:szCs w:val="21"/>
              </w:rPr>
            </w:pPr>
            <w:r>
              <w:rPr>
                <w:rFonts w:hint="eastAsia" w:ascii="Times New Roman" w:hAnsi="Times New Roman" w:cs="Arial" w:eastAsiaTheme="minorEastAsia"/>
                <w:szCs w:val="21"/>
                <w:lang w:val="zh-CN" w:eastAsia="zh-CN"/>
              </w:rPr>
              <w:t>已报告的</w:t>
            </w:r>
            <w:r>
              <w:rPr>
                <w:rFonts w:hint="eastAsia" w:ascii="Times New Roman" w:hAnsi="Times New Roman" w:cs="Arial" w:eastAsiaTheme="minorEastAsia"/>
                <w:szCs w:val="21"/>
                <w:lang w:val="zh-CN"/>
              </w:rPr>
              <w:t xml:space="preserve">严重不良事件例数: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00" w:lineRule="exact"/>
              <w:ind w:right="-113" w:hanging="20"/>
              <w:textAlignment w:val="auto"/>
              <w:outlineLvl w:val="9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00" w:lineRule="exact"/>
              <w:ind w:left="71" w:leftChars="34" w:right="-113" w:firstLine="315" w:firstLineChars="150"/>
              <w:textAlignment w:val="auto"/>
              <w:outlineLvl w:val="9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315" w:firstLineChars="150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研究进展情况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right="-38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研究阶段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 xml:space="preserve">研究尚未启动      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 xml:space="preserve">正在招募受试者(尚未入组)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right="-38" w:firstLine="1260" w:firstLineChars="6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 xml:space="preserve">正在实施研究  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受试者的试验干预已经完成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1260" w:firstLineChars="6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后期数据处理阶段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00" w:lineRule="exact"/>
              <w:ind w:right="-113" w:hanging="20"/>
              <w:textAlignment w:val="auto"/>
              <w:outlineLvl w:val="9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right="-38" w:firstLine="210" w:firstLineChars="100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是否存在影响研究进行的情况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是→请说明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00" w:lineRule="exact"/>
              <w:ind w:right="-113" w:hanging="20"/>
              <w:textAlignment w:val="auto"/>
              <w:outlineLvl w:val="9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right="-38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是否存在与试验干预相关的、非预期的、严重不良事件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00" w:lineRule="exact"/>
              <w:ind w:right="-113" w:hanging="20"/>
              <w:textAlignment w:val="auto"/>
              <w:outlineLvl w:val="9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right="-38" w:firstLine="210" w:firstLineChars="1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研究风险是否超过预期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196" w:lineRule="exact"/>
              <w:ind w:firstLine="550" w:firstLineChars="262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6" w:line="200" w:lineRule="exact"/>
              <w:ind w:right="-113" w:hanging="20"/>
              <w:textAlignment w:val="auto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left="185" w:leftChars="88" w:right="111" w:rightChars="0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是否存在影响研究风险与受益的任何新信息、新进展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是→请说明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exact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6" w:line="200" w:lineRule="exact"/>
              <w:ind w:right="-113" w:hanging="20"/>
              <w:textAlignment w:val="auto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right="-38" w:firstLine="210" w:firstLineChars="100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研究中是否存在影响受试者权益的问题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口否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口是</w:t>
            </w:r>
            <w:r>
              <w:rPr>
                <w:rFonts w:hint="default" w:ascii="Times New Roman" w:hAnsi="Times New Roman" w:eastAsia="宋体" w:cs="Arial"/>
                <w:color w:val="2D2D2D"/>
                <w:sz w:val="21"/>
                <w:szCs w:val="21"/>
              </w:rPr>
              <w:t>→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请说明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firstLine="550" w:firstLineChars="262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46" w:line="200" w:lineRule="exact"/>
              <w:ind w:right="-113" w:hanging="20"/>
              <w:textAlignment w:val="auto"/>
              <w:rPr>
                <w:rFonts w:hint="eastAsia" w:ascii="Times New Roman" w:hAnsi="Times New Roman" w:eastAsia="宋体" w:cs="宋体"/>
                <w:color w:val="161616"/>
                <w:sz w:val="21"/>
                <w:szCs w:val="21"/>
              </w:rPr>
            </w:pP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严重不良事件或方案规定必须报告的重要医学事件已经及时报告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textAlignment w:val="auto"/>
              <w:outlineLvl w:val="9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firstLine="630" w:firstLineChars="300"/>
              <w:jc w:val="both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其他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firstLine="210" w:firstLineChars="100"/>
              <w:jc w:val="both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是否申请延长伦理审查批件的有效期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是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color w:val="2D2D2D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firstLine="550" w:firstLineChars="262"/>
              <w:jc w:val="both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ind w:firstLine="344" w:firstLineChars="164"/>
              <w:jc w:val="both"/>
              <w:textAlignment w:val="auto"/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D2D2D"/>
                <w:sz w:val="21"/>
                <w:szCs w:val="21"/>
              </w:rPr>
              <w:t>主要研究者签名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75" w:line="196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282828"/>
                <w:sz w:val="21"/>
                <w:szCs w:val="21"/>
              </w:rPr>
              <w:t xml:space="preserve">    日  期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Times New Roman" w:hAnsi="Times New Roman" w:eastAsia="宋体" w:cs="宋体"/>
                <w:color w:val="060606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  医学伦理委员会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B8DB3F"/>
    <w:multiLevelType w:val="singleLevel"/>
    <w:tmpl w:val="EAB8DB3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  <w:sz w:val="1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14DE9"/>
    <w:rsid w:val="21014DE9"/>
    <w:rsid w:val="53853B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s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2018-11-20T00:33:00Z</dcterms:created>
  <dc:creator>优哉游哉</dc:creator>
  <cp:lastModifiedBy>优哉游哉</cp:lastModifiedBy>
  <dcterms:modified xsi:type="dcterms:W3CDTF">2019-01-14T07:21:03Z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