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6AD5">
      <w:pPr>
        <w:jc w:val="center"/>
        <w:rPr>
          <w:rFonts w:ascii="Times New Roman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Arial" w:eastAsiaTheme="minorEastAsia"/>
          <w:szCs w:val="21"/>
          <w:lang w:val="zh-CN" w:eastAsia="zh-CN"/>
        </w:rPr>
        <w:t>文件编号</w:t>
      </w:r>
      <w:r>
        <w:rPr>
          <w:rFonts w:hint="eastAsia" w:ascii="Times New Roman" w:hAnsi="Times New Roman" w:cs="Arial"/>
          <w:szCs w:val="21"/>
          <w:lang w:val="zh-CN" w:eastAsia="zh-CN"/>
        </w:rPr>
        <w:t>：ZS-IRB-AF-0</w:t>
      </w:r>
      <w:r>
        <w:rPr>
          <w:rFonts w:hint="eastAsia" w:ascii="Times New Roman" w:hAnsi="Times New Roman" w:cs="Arial"/>
          <w:szCs w:val="21"/>
          <w:lang w:val="en-US" w:eastAsia="zh-CN"/>
        </w:rPr>
        <w:t>4</w:t>
      </w:r>
      <w:r>
        <w:rPr>
          <w:rFonts w:hint="eastAsia" w:ascii="Times New Roman" w:hAnsi="Times New Roman" w:cs="Arial"/>
          <w:szCs w:val="21"/>
          <w:lang w:val="zh-CN" w:eastAsia="zh-CN"/>
        </w:rPr>
        <w:t>-0</w:t>
      </w:r>
      <w:r>
        <w:rPr>
          <w:rFonts w:hint="eastAsia" w:ascii="Times New Roman" w:hAnsi="Times New Roman" w:cs="Arial"/>
          <w:szCs w:val="21"/>
          <w:lang w:val="en-US" w:eastAsia="zh-CN"/>
        </w:rPr>
        <w:t>5     版本号：3.0     版本日期：2025.07.09</w:t>
      </w:r>
    </w:p>
    <w:p w14:paraId="00791CEA">
      <w:pPr>
        <w:jc w:val="center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严重不良事件报告表（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SAE</w:t>
      </w:r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）</w:t>
      </w:r>
    </w:p>
    <w:p w14:paraId="61B0A192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药物临床研究批准文号：编号：</w:t>
      </w:r>
    </w:p>
    <w:p w14:paraId="261DD449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4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800"/>
        <w:gridCol w:w="192"/>
        <w:gridCol w:w="948"/>
        <w:gridCol w:w="1447"/>
        <w:gridCol w:w="113"/>
        <w:gridCol w:w="900"/>
        <w:gridCol w:w="435"/>
        <w:gridCol w:w="1545"/>
      </w:tblGrid>
      <w:tr w14:paraId="04945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9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B76405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450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78990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首次报告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随访报告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总结报告</w:t>
            </w:r>
          </w:p>
        </w:tc>
        <w:tc>
          <w:tcPr>
            <w:tcW w:w="288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65DA46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报告时间：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1164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7888FA0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医疗机构及</w:t>
            </w:r>
          </w:p>
          <w:p w14:paraId="6DE84DC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40432C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7FA4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E02E0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877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389405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6D5428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65E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D92362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9120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4BC2A0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试验药物名称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9691AE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中文名称：</w:t>
            </w:r>
          </w:p>
        </w:tc>
      </w:tr>
      <w:tr w14:paraId="57400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  <w:vAlign w:val="center"/>
          </w:tcPr>
          <w:p w14:paraId="7895DA3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6D461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英文名称：</w:t>
            </w:r>
          </w:p>
        </w:tc>
      </w:tr>
      <w:tr w14:paraId="54F56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52559C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药品类别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6EA6D84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化学药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新生物制品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放射性药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进口药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其它剂型：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F70A7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第类</w:t>
            </w:r>
          </w:p>
        </w:tc>
      </w:tr>
      <w:tr w14:paraId="444FD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38B0CC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临床研究分期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1150E0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Ⅱ期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Ⅲ期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Ⅳ期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生物等效性试验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临床验证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42DC6F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剂型：</w:t>
            </w:r>
          </w:p>
        </w:tc>
      </w:tr>
      <w:tr w14:paraId="48796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28C2187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受试者情况</w:t>
            </w:r>
          </w:p>
        </w:tc>
        <w:tc>
          <w:tcPr>
            <w:tcW w:w="18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6D151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姓名拼音缩写：</w:t>
            </w:r>
          </w:p>
          <w:p w14:paraId="168949B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0C2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性别：</w:t>
            </w:r>
          </w:p>
          <w:p w14:paraId="0535330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D0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出生日期：</w:t>
            </w:r>
          </w:p>
          <w:p w14:paraId="5693E54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CF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4A6D727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27642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1060B56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3F1A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</w:tcPr>
          <w:p w14:paraId="1351E43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1C29B6FD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合并疾病及治疗：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</w:p>
          <w:p w14:paraId="04FED1E9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58D24BD2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03D25BD5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</w:tc>
      </w:tr>
      <w:tr w14:paraId="5DB0F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8A430B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的医学术语</w:t>
            </w:r>
          </w:p>
          <w:p w14:paraId="71E5D95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诊断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32C05AE2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25B0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94A7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SAE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59A70B93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______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  <w:p w14:paraId="2B85934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导致住院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延长住院时间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伤残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功能障碍</w:t>
            </w:r>
          </w:p>
          <w:p w14:paraId="2CB914A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导致先天畸形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危及生命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75C08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985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57F104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发生时间：年月日</w:t>
            </w:r>
          </w:p>
          <w:p w14:paraId="3F5300F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研究者获知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时间：年月日</w:t>
            </w:r>
          </w:p>
        </w:tc>
        <w:tc>
          <w:tcPr>
            <w:tcW w:w="5388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2DC6DC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反应严重程度：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轻度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重度</w:t>
            </w:r>
          </w:p>
        </w:tc>
      </w:tr>
      <w:tr w14:paraId="4701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9EA7C6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对试验用药采取的措施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4473EC0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继续用药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减少剂量</w:t>
            </w:r>
          </w:p>
          <w:p w14:paraId="45746682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药物暂停后又恢复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停用药物</w:t>
            </w:r>
          </w:p>
        </w:tc>
      </w:tr>
      <w:tr w14:paraId="16EC9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CB1DC0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173F1BE4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症状消失（后遗征：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症状持续</w:t>
            </w:r>
          </w:p>
          <w:p w14:paraId="11FB09A3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死亡（死亡时间：年月日）</w:t>
            </w:r>
          </w:p>
        </w:tc>
      </w:tr>
      <w:tr w14:paraId="67A7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342FA38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与试验药的关系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793DFD7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无法判断</w:t>
            </w:r>
          </w:p>
        </w:tc>
      </w:tr>
      <w:tr w14:paraId="0C2B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6A7D5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破盲情况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67B6DB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未破盲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已破盲（破盲时间：年月日）</w:t>
            </w:r>
          </w:p>
        </w:tc>
      </w:tr>
      <w:tr w14:paraId="5694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B52C6C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519171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  <w:p w14:paraId="5967155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国外：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</w:tc>
      </w:tr>
      <w:tr w14:paraId="31AC6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9373" w:type="dxa"/>
            <w:gridSpan w:val="9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07AE7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发生及处理的详细情况：</w:t>
            </w:r>
          </w:p>
          <w:p w14:paraId="6A71CB61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5587F1C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7BE0B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06A50D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0429CD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A959F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A270E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6A75E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63BD8C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4D6E6B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6C5365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8FC171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219DF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90C65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D4777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8EB5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81F3BA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B0BC662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38D503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F1B94D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98673A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241E73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297E19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D69D0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12C763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E509393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D72A6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EE3B340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E5E5FB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C338C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65ED9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FD479D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B46347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7B4900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ED530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1804BD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</w:p>
    <w:p w14:paraId="48B45367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报告单位名称：</w:t>
      </w:r>
    </w:p>
    <w:p w14:paraId="2D48C246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报告人职务</w:t>
      </w: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职称：</w:t>
      </w:r>
    </w:p>
    <w:p w14:paraId="485581C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报告人签名：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56D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39D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39D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15B5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DB524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7665"/>
    <w:rsid w:val="01AF654E"/>
    <w:rsid w:val="04993F77"/>
    <w:rsid w:val="20147AC8"/>
    <w:rsid w:val="204C5CE3"/>
    <w:rsid w:val="22E66B0E"/>
    <w:rsid w:val="2A2F7665"/>
    <w:rsid w:val="35234479"/>
    <w:rsid w:val="584F7516"/>
    <w:rsid w:val="62E74B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591</Words>
  <Characters>775</Characters>
  <Lines>0</Lines>
  <Paragraphs>0</Paragraphs>
  <TotalTime>0</TotalTime>
  <ScaleCrop>false</ScaleCrop>
  <LinksUpToDate>false</LinksUpToDate>
  <CharactersWithSpaces>825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2026-04-13T02:57:52Z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B2E2E6416F944DC29B79D871F2F161B1_13</vt:lpwstr>
  </property>
</Properties>
</file>